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86" w:rsidRPr="00311E80" w:rsidRDefault="008D7986" w:rsidP="008D7986">
      <w:pPr>
        <w:widowControl w:val="0"/>
        <w:spacing w:after="0" w:line="240" w:lineRule="auto"/>
        <w:jc w:val="both"/>
        <w:rPr>
          <w:rStyle w:val="textexposedshow"/>
          <w:b/>
          <w:bCs/>
          <w:sz w:val="24"/>
          <w:szCs w:val="24"/>
        </w:rPr>
      </w:pPr>
    </w:p>
    <w:p w:rsidR="008D7986" w:rsidRPr="00311E80" w:rsidRDefault="008D7986" w:rsidP="008D7986">
      <w:pPr>
        <w:widowControl w:val="0"/>
        <w:spacing w:after="0" w:line="240" w:lineRule="auto"/>
        <w:jc w:val="both"/>
        <w:rPr>
          <w:rStyle w:val="textexposedshow"/>
          <w:i/>
          <w:iCs/>
          <w:sz w:val="24"/>
          <w:szCs w:val="24"/>
        </w:rPr>
      </w:pPr>
      <w:r w:rsidRPr="00311E80">
        <w:rPr>
          <w:rStyle w:val="textexposedshow"/>
          <w:i/>
          <w:iCs/>
          <w:sz w:val="24"/>
          <w:szCs w:val="24"/>
        </w:rPr>
        <w:t>Dopo l’articolo 12 aggiungere il seguente:</w:t>
      </w:r>
    </w:p>
    <w:p w:rsidR="008D7986" w:rsidRPr="00311E80" w:rsidRDefault="008D7986" w:rsidP="008D7986">
      <w:pPr>
        <w:widowControl w:val="0"/>
        <w:spacing w:after="0" w:line="240" w:lineRule="auto"/>
        <w:jc w:val="both"/>
        <w:rPr>
          <w:rStyle w:val="textexposedshow"/>
          <w:i/>
          <w:iCs/>
          <w:sz w:val="24"/>
          <w:szCs w:val="24"/>
        </w:rPr>
      </w:pPr>
      <w:r w:rsidRPr="00311E80">
        <w:rPr>
          <w:rStyle w:val="textexposedshow"/>
          <w:i/>
          <w:iCs/>
          <w:sz w:val="24"/>
          <w:szCs w:val="24"/>
        </w:rPr>
        <w:t>ART. 12-bis.</w:t>
      </w:r>
    </w:p>
    <w:p w:rsidR="008D7986" w:rsidRPr="00311E80" w:rsidRDefault="008D7986" w:rsidP="008D7986">
      <w:pPr>
        <w:widowControl w:val="0"/>
        <w:spacing w:after="0" w:line="240" w:lineRule="auto"/>
        <w:jc w:val="both"/>
        <w:rPr>
          <w:rStyle w:val="textexposedshow"/>
          <w:i/>
          <w:iCs/>
          <w:sz w:val="24"/>
          <w:szCs w:val="24"/>
        </w:rPr>
      </w:pPr>
      <w:r w:rsidRPr="00311E80">
        <w:rPr>
          <w:rStyle w:val="textexposedshow"/>
          <w:i/>
          <w:iCs/>
          <w:sz w:val="24"/>
          <w:szCs w:val="24"/>
        </w:rPr>
        <w:t>(Regime fiscale agevolato per gli operatori bancari di finanza etica).</w:t>
      </w:r>
    </w:p>
    <w:p w:rsidR="008D7986" w:rsidRPr="00311E80" w:rsidRDefault="008D7986" w:rsidP="008D7986">
      <w:pPr>
        <w:widowControl w:val="0"/>
        <w:spacing w:after="0" w:line="240" w:lineRule="auto"/>
        <w:jc w:val="both"/>
        <w:rPr>
          <w:rStyle w:val="Hyperlink4"/>
        </w:rPr>
      </w:pPr>
      <w:r w:rsidRPr="00311E80">
        <w:rPr>
          <w:rStyle w:val="Hyperlink4"/>
        </w:rPr>
        <w:t xml:space="preserve">1. Al testo unico delle leggi in materia bancaria e creditizia, di cui al decreto legislativo 1o settembre 1993, n. 385, dopo l’articolo 111 è inserito il seguente: </w:t>
      </w:r>
      <w:proofErr w:type="gramStart"/>
      <w:r w:rsidRPr="00311E80">
        <w:rPr>
          <w:rStyle w:val="Hyperlink4"/>
        </w:rPr>
        <w:t>« ART.</w:t>
      </w:r>
      <w:proofErr w:type="gramEnd"/>
      <w:r w:rsidRPr="00311E80">
        <w:rPr>
          <w:rStyle w:val="Hyperlink4"/>
        </w:rPr>
        <w:t xml:space="preserve"> 111-bis. – (Finanza etica). – 1.</w:t>
      </w:r>
    </w:p>
    <w:p w:rsidR="008D7986" w:rsidRPr="00311E80" w:rsidRDefault="008D7986" w:rsidP="008D7986">
      <w:pPr>
        <w:widowControl w:val="0"/>
        <w:spacing w:after="0" w:line="240" w:lineRule="auto"/>
        <w:jc w:val="both"/>
        <w:rPr>
          <w:rStyle w:val="Hyperlink4"/>
        </w:rPr>
      </w:pPr>
      <w:r w:rsidRPr="00311E80">
        <w:rPr>
          <w:rStyle w:val="Hyperlink4"/>
        </w:rPr>
        <w:t>Sono operatori bancari di finanza etica quelle banche che conformano la propria attività ai seguenti principi:</w:t>
      </w:r>
    </w:p>
    <w:p w:rsidR="008D7986" w:rsidRPr="00311E80" w:rsidRDefault="008D7986" w:rsidP="008D7986">
      <w:pPr>
        <w:widowControl w:val="0"/>
        <w:spacing w:after="0" w:line="240" w:lineRule="auto"/>
        <w:jc w:val="both"/>
        <w:rPr>
          <w:rStyle w:val="Hyperlink4"/>
        </w:rPr>
      </w:pPr>
      <w:r w:rsidRPr="00311E80">
        <w:rPr>
          <w:rStyle w:val="Hyperlink4"/>
        </w:rPr>
        <w:t>a) valutano i finanziamenti erogati a persone giuridiche anche dal punto di vista sociale e ambientale;</w:t>
      </w:r>
    </w:p>
    <w:p w:rsidR="008D7986" w:rsidRPr="00311E80" w:rsidRDefault="008D7986" w:rsidP="008D7986">
      <w:pPr>
        <w:widowControl w:val="0"/>
        <w:spacing w:after="0" w:line="240" w:lineRule="auto"/>
        <w:jc w:val="both"/>
        <w:rPr>
          <w:rStyle w:val="Hyperlink4"/>
        </w:rPr>
      </w:pPr>
      <w:r w:rsidRPr="00311E80">
        <w:rPr>
          <w:rStyle w:val="Hyperlink4"/>
        </w:rPr>
        <w:t>b) danno evidenza pubblica, anche via web, dei finanziamenti erogati a persone giuridiche con riferimento almeno alla ragione sociale dei beneficiari, all’attività svolta, all’importo del finanziamento erogato e alla sede dell’attività;</w:t>
      </w:r>
    </w:p>
    <w:p w:rsidR="008D7986" w:rsidRPr="00311E80" w:rsidRDefault="008D7986" w:rsidP="008D7986">
      <w:pPr>
        <w:widowControl w:val="0"/>
        <w:spacing w:after="0" w:line="240" w:lineRule="auto"/>
        <w:jc w:val="both"/>
        <w:rPr>
          <w:rStyle w:val="Hyperlink4"/>
        </w:rPr>
      </w:pPr>
      <w:r w:rsidRPr="00311E80">
        <w:rPr>
          <w:rStyle w:val="Hyperlink4"/>
        </w:rPr>
        <w:t>c) devolvono almeno il 30 per cento del proprio portafoglio crediti a organizzazioni non profit o imprese sociali;</w:t>
      </w:r>
    </w:p>
    <w:p w:rsidR="008D7986" w:rsidRPr="00311E80" w:rsidRDefault="008D7986" w:rsidP="008D7986">
      <w:pPr>
        <w:widowControl w:val="0"/>
        <w:spacing w:after="0" w:line="240" w:lineRule="auto"/>
        <w:jc w:val="both"/>
        <w:rPr>
          <w:rStyle w:val="Hyperlink4"/>
        </w:rPr>
      </w:pPr>
      <w:r w:rsidRPr="00311E80">
        <w:rPr>
          <w:rStyle w:val="Hyperlink4"/>
        </w:rPr>
        <w:t>d) non distribuiscono profitti, ma li reinvestono nella propria attività;</w:t>
      </w:r>
    </w:p>
    <w:p w:rsidR="008D7986" w:rsidRPr="00311E80" w:rsidRDefault="008D7986" w:rsidP="008D7986">
      <w:pPr>
        <w:widowControl w:val="0"/>
        <w:spacing w:after="0" w:line="240" w:lineRule="auto"/>
        <w:jc w:val="both"/>
        <w:rPr>
          <w:rStyle w:val="Hyperlink4"/>
        </w:rPr>
      </w:pPr>
      <w:r w:rsidRPr="00311E80">
        <w:rPr>
          <w:rStyle w:val="Hyperlink4"/>
        </w:rPr>
        <w:t>e) sono caratterizzati da una gestione interna a forte orientamento democratico e partecipativo caratterizzato da un azionariato diffuso;</w:t>
      </w:r>
    </w:p>
    <w:p w:rsidR="008D7986" w:rsidRPr="00311E80" w:rsidRDefault="008D7986" w:rsidP="008D7986">
      <w:pPr>
        <w:widowControl w:val="0"/>
        <w:spacing w:after="0" w:line="240" w:lineRule="auto"/>
        <w:jc w:val="both"/>
        <w:rPr>
          <w:rStyle w:val="Hyperlink4"/>
        </w:rPr>
      </w:pPr>
      <w:r w:rsidRPr="00311E80">
        <w:rPr>
          <w:rStyle w:val="Hyperlink4"/>
        </w:rPr>
        <w:t xml:space="preserve">f) adottano politiche retributive tese a contenere al massimo la differenza tra la remunerazione maggiore e quella media della banca, il cui rapporto comunque non può superare il valore di 10 </w:t>
      </w:r>
      <w:proofErr w:type="gramStart"/>
      <w:r w:rsidRPr="00311E80">
        <w:rPr>
          <w:rStyle w:val="Hyperlink4"/>
        </w:rPr>
        <w:t>»..</w:t>
      </w:r>
      <w:proofErr w:type="gramEnd"/>
    </w:p>
    <w:p w:rsidR="008D7986" w:rsidRPr="00311E80" w:rsidRDefault="008D7986" w:rsidP="008D7986">
      <w:pPr>
        <w:widowControl w:val="0"/>
        <w:spacing w:after="0" w:line="240" w:lineRule="auto"/>
        <w:jc w:val="both"/>
        <w:rPr>
          <w:rStyle w:val="Hyperlink4"/>
        </w:rPr>
      </w:pPr>
      <w:r w:rsidRPr="00311E80">
        <w:rPr>
          <w:rStyle w:val="Hyperlink4"/>
        </w:rPr>
        <w:t>2. Non concorre a formare il reddito imponibile di cui all’articolo 81 del testo unico delle imposte sui redditi, di cui al decreto del Presidente della Repubblica 22 dicembre 1986, n. 917, degli operatori bancari di finanza etica una quota pari al 75 per cento delle somme destinate a incremento del capitale proprio.</w:t>
      </w:r>
    </w:p>
    <w:p w:rsidR="008D7986" w:rsidRPr="00311E80" w:rsidRDefault="008D7986" w:rsidP="008D7986">
      <w:pPr>
        <w:widowControl w:val="0"/>
        <w:spacing w:after="0" w:line="240" w:lineRule="auto"/>
        <w:jc w:val="both"/>
        <w:rPr>
          <w:rStyle w:val="Hyperlink4"/>
        </w:rPr>
      </w:pPr>
      <w:r w:rsidRPr="00311E80">
        <w:rPr>
          <w:rStyle w:val="Hyperlink4"/>
        </w:rPr>
        <w:t>3. Il Ministro dell’economia e delle finanze, sentita la Banca d’Italia, stabilisce, con proprio decreto, le norme di attuazione delle disposizioni di cui alla presente articolo e dalle quali non possono derivare oneri a carico della finanza pubblica superiori a 1 milione di euro in ragione annua a decorrere dall’anno 2017.</w:t>
      </w:r>
    </w:p>
    <w:p w:rsidR="008D7986" w:rsidRPr="00311E80" w:rsidRDefault="008D7986" w:rsidP="008D7986">
      <w:pPr>
        <w:spacing w:after="0" w:line="240" w:lineRule="auto"/>
        <w:jc w:val="both"/>
        <w:rPr>
          <w:rStyle w:val="textexposedshow"/>
          <w:sz w:val="24"/>
          <w:szCs w:val="24"/>
        </w:rPr>
      </w:pPr>
      <w:r w:rsidRPr="00311E80">
        <w:rPr>
          <w:rStyle w:val="textexposedshow"/>
          <w:i/>
          <w:iCs/>
          <w:sz w:val="24"/>
          <w:szCs w:val="24"/>
        </w:rPr>
        <w:t>Conseguentemente, all’articolo 78, comma 1, le parole</w:t>
      </w:r>
      <w:r w:rsidRPr="00311E80">
        <w:rPr>
          <w:rStyle w:val="textexposedshow"/>
          <w:sz w:val="24"/>
          <w:szCs w:val="24"/>
        </w:rPr>
        <w:t xml:space="preserve">: nel limite di spesa di 24,4 milioni di euro annui, </w:t>
      </w:r>
      <w:r w:rsidRPr="00311E80">
        <w:rPr>
          <w:rStyle w:val="textexposedshow"/>
          <w:i/>
          <w:iCs/>
          <w:sz w:val="24"/>
          <w:szCs w:val="24"/>
        </w:rPr>
        <w:t>sono sostituite dalle seguenti:</w:t>
      </w:r>
      <w:r w:rsidRPr="00311E80">
        <w:rPr>
          <w:rStyle w:val="textexposedshow"/>
          <w:sz w:val="24"/>
          <w:szCs w:val="24"/>
        </w:rPr>
        <w:t xml:space="preserve"> nel limite di spesa di 23,4 milioni di euro annui.</w:t>
      </w:r>
    </w:p>
    <w:p w:rsidR="008D7986" w:rsidRPr="00311E80" w:rsidRDefault="008D7986" w:rsidP="008D7986">
      <w:pPr>
        <w:spacing w:after="0" w:line="240" w:lineRule="auto"/>
        <w:jc w:val="both"/>
        <w:rPr>
          <w:sz w:val="24"/>
          <w:szCs w:val="24"/>
        </w:rPr>
      </w:pPr>
    </w:p>
    <w:p w:rsidR="008D7986" w:rsidRPr="00311E80" w:rsidRDefault="008D7986" w:rsidP="008D7986">
      <w:pPr>
        <w:spacing w:after="0" w:line="240" w:lineRule="auto"/>
        <w:jc w:val="both"/>
        <w:rPr>
          <w:rStyle w:val="textexposedshow"/>
          <w:sz w:val="24"/>
          <w:szCs w:val="24"/>
        </w:rPr>
      </w:pPr>
      <w:r w:rsidRPr="00311E80">
        <w:rPr>
          <w:rStyle w:val="textexposedshow"/>
          <w:sz w:val="24"/>
          <w:szCs w:val="24"/>
        </w:rPr>
        <w:t xml:space="preserve">12. 09. Marcon, Paglia, </w:t>
      </w:r>
      <w:proofErr w:type="spellStart"/>
      <w:r w:rsidRPr="00311E80">
        <w:rPr>
          <w:rStyle w:val="textexposedshow"/>
          <w:sz w:val="24"/>
          <w:szCs w:val="24"/>
        </w:rPr>
        <w:t>Fassina</w:t>
      </w:r>
      <w:proofErr w:type="spellEnd"/>
      <w:r w:rsidRPr="00311E80">
        <w:rPr>
          <w:rStyle w:val="textexposedshow"/>
          <w:sz w:val="24"/>
          <w:szCs w:val="24"/>
        </w:rPr>
        <w:t xml:space="preserve">, Melilla, Scotto, </w:t>
      </w:r>
      <w:proofErr w:type="spellStart"/>
      <w:r w:rsidRPr="00311E80">
        <w:rPr>
          <w:rStyle w:val="textexposedshow"/>
          <w:sz w:val="24"/>
          <w:szCs w:val="24"/>
        </w:rPr>
        <w:t>Airaudo</w:t>
      </w:r>
      <w:proofErr w:type="spellEnd"/>
      <w:r w:rsidRPr="00311E80">
        <w:rPr>
          <w:rStyle w:val="textexposedshow"/>
          <w:sz w:val="24"/>
          <w:szCs w:val="24"/>
        </w:rPr>
        <w:t>, Franco Bordo, Costantino, D’</w:t>
      </w:r>
      <w:proofErr w:type="spellStart"/>
      <w:r w:rsidRPr="00311E80">
        <w:rPr>
          <w:rStyle w:val="textexposedshow"/>
          <w:sz w:val="24"/>
          <w:szCs w:val="24"/>
        </w:rPr>
        <w:t>Attorre</w:t>
      </w:r>
      <w:proofErr w:type="spellEnd"/>
      <w:r w:rsidRPr="00311E80">
        <w:rPr>
          <w:rStyle w:val="textexposedshow"/>
          <w:sz w:val="24"/>
          <w:szCs w:val="24"/>
        </w:rPr>
        <w:t xml:space="preserve">, Duranti, Daniele Farina, Fava, Ferrara, </w:t>
      </w:r>
      <w:proofErr w:type="spellStart"/>
      <w:r w:rsidRPr="00311E80">
        <w:rPr>
          <w:rStyle w:val="textexposedshow"/>
          <w:sz w:val="24"/>
          <w:szCs w:val="24"/>
        </w:rPr>
        <w:t>Folino</w:t>
      </w:r>
      <w:proofErr w:type="spellEnd"/>
      <w:r w:rsidRPr="00311E80">
        <w:rPr>
          <w:rStyle w:val="textexposedshow"/>
          <w:sz w:val="24"/>
          <w:szCs w:val="24"/>
        </w:rPr>
        <w:t xml:space="preserve">, </w:t>
      </w:r>
      <w:proofErr w:type="spellStart"/>
      <w:r w:rsidRPr="00311E80">
        <w:rPr>
          <w:rStyle w:val="textexposedshow"/>
          <w:sz w:val="24"/>
          <w:szCs w:val="24"/>
        </w:rPr>
        <w:t>Fratoianni</w:t>
      </w:r>
      <w:proofErr w:type="spellEnd"/>
      <w:r w:rsidRPr="00311E80">
        <w:rPr>
          <w:rStyle w:val="textexposedshow"/>
          <w:sz w:val="24"/>
          <w:szCs w:val="24"/>
        </w:rPr>
        <w:t xml:space="preserve">, Carlo Galli, Giancarlo Giordano, Gregori, </w:t>
      </w:r>
      <w:proofErr w:type="spellStart"/>
      <w:r w:rsidRPr="00311E80">
        <w:rPr>
          <w:rStyle w:val="textexposedshow"/>
          <w:sz w:val="24"/>
          <w:szCs w:val="24"/>
        </w:rPr>
        <w:t>Kronbichler</w:t>
      </w:r>
      <w:proofErr w:type="spellEnd"/>
      <w:r w:rsidRPr="00311E80">
        <w:rPr>
          <w:rStyle w:val="textexposedshow"/>
          <w:sz w:val="24"/>
          <w:szCs w:val="24"/>
        </w:rPr>
        <w:t xml:space="preserve">, Martelli, Nicchi, Paglia, Palazzotto, </w:t>
      </w:r>
      <w:proofErr w:type="spellStart"/>
      <w:r w:rsidRPr="00311E80">
        <w:rPr>
          <w:rStyle w:val="textexposedshow"/>
          <w:sz w:val="24"/>
          <w:szCs w:val="24"/>
        </w:rPr>
        <w:t>Pannarale</w:t>
      </w:r>
      <w:proofErr w:type="spellEnd"/>
      <w:r w:rsidRPr="00311E80">
        <w:rPr>
          <w:rStyle w:val="textexposedshow"/>
          <w:sz w:val="24"/>
          <w:szCs w:val="24"/>
        </w:rPr>
        <w:t xml:space="preserve">, Pellegrino, Piras, Placido, Quaranta, </w:t>
      </w:r>
      <w:proofErr w:type="spellStart"/>
      <w:r w:rsidRPr="00311E80">
        <w:rPr>
          <w:rStyle w:val="textexposedshow"/>
          <w:sz w:val="24"/>
          <w:szCs w:val="24"/>
        </w:rPr>
        <w:t>Ricciatti</w:t>
      </w:r>
      <w:proofErr w:type="spellEnd"/>
      <w:r w:rsidRPr="00311E80">
        <w:rPr>
          <w:rStyle w:val="textexposedshow"/>
          <w:sz w:val="24"/>
          <w:szCs w:val="24"/>
        </w:rPr>
        <w:t>, Sannicandro, Zaratti, Rubinato.</w:t>
      </w:r>
    </w:p>
    <w:p w:rsidR="008D7986" w:rsidRDefault="008D7986" w:rsidP="008D7986">
      <w:pPr>
        <w:widowControl w:val="0"/>
        <w:spacing w:after="0" w:line="240" w:lineRule="auto"/>
        <w:jc w:val="both"/>
        <w:rPr>
          <w:rStyle w:val="textexposedshow"/>
          <w:b/>
          <w:bCs/>
          <w:sz w:val="24"/>
          <w:szCs w:val="24"/>
        </w:rPr>
      </w:pPr>
    </w:p>
    <w:p w:rsidR="003D66E7" w:rsidRPr="008D7986" w:rsidRDefault="003D66E7" w:rsidP="008D7986">
      <w:pPr>
        <w:widowControl w:val="0"/>
        <w:spacing w:after="0" w:line="240" w:lineRule="auto"/>
        <w:jc w:val="both"/>
        <w:rPr>
          <w:b/>
          <w:bCs/>
          <w:sz w:val="28"/>
          <w:szCs w:val="28"/>
        </w:rPr>
      </w:pPr>
      <w:bookmarkStart w:id="0" w:name="_GoBack"/>
      <w:bookmarkEnd w:id="0"/>
    </w:p>
    <w:sectPr w:rsidR="003D66E7" w:rsidRPr="008D79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12130"/>
    <w:multiLevelType w:val="hybridMultilevel"/>
    <w:tmpl w:val="FFFFFFFF"/>
    <w:styleLink w:val="Stileimportato2"/>
    <w:lvl w:ilvl="0" w:tplc="C39A602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0000FF"/>
        <w:spacing w:val="0"/>
        <w:w w:val="100"/>
        <w:kern w:val="0"/>
        <w:position w:val="0"/>
        <w:highlight w:val="none"/>
        <w:vertAlign w:val="baseline"/>
      </w:rPr>
    </w:lvl>
    <w:lvl w:ilvl="1" w:tplc="1944C2F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color w:val="0000FF"/>
        <w:spacing w:val="0"/>
        <w:w w:val="100"/>
        <w:kern w:val="0"/>
        <w:position w:val="0"/>
        <w:highlight w:val="none"/>
        <w:vertAlign w:val="baseline"/>
      </w:rPr>
    </w:lvl>
    <w:lvl w:ilvl="2" w:tplc="E3A82C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3" w:tplc="489A903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color w:val="0000FF"/>
        <w:spacing w:val="0"/>
        <w:w w:val="100"/>
        <w:kern w:val="0"/>
        <w:position w:val="0"/>
        <w:highlight w:val="none"/>
        <w:vertAlign w:val="baseline"/>
      </w:rPr>
    </w:lvl>
    <w:lvl w:ilvl="4" w:tplc="E3003BE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color w:val="0000FF"/>
        <w:spacing w:val="0"/>
        <w:w w:val="100"/>
        <w:kern w:val="0"/>
        <w:position w:val="0"/>
        <w:highlight w:val="none"/>
        <w:vertAlign w:val="baseline"/>
      </w:rPr>
    </w:lvl>
    <w:lvl w:ilvl="5" w:tplc="31AE64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6" w:tplc="5170C73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color w:val="0000FF"/>
        <w:spacing w:val="0"/>
        <w:w w:val="100"/>
        <w:kern w:val="0"/>
        <w:position w:val="0"/>
        <w:highlight w:val="none"/>
        <w:vertAlign w:val="baseline"/>
      </w:rPr>
    </w:lvl>
    <w:lvl w:ilvl="7" w:tplc="2D5689D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color w:val="0000FF"/>
        <w:spacing w:val="0"/>
        <w:w w:val="100"/>
        <w:kern w:val="0"/>
        <w:position w:val="0"/>
        <w:highlight w:val="none"/>
        <w:vertAlign w:val="baseline"/>
      </w:rPr>
    </w:lvl>
    <w:lvl w:ilvl="8" w:tplc="511E52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abstractNum>
  <w:abstractNum w:abstractNumId="1" w15:restartNumberingAfterBreak="0">
    <w:nsid w:val="6BF575CA"/>
    <w:multiLevelType w:val="hybridMultilevel"/>
    <w:tmpl w:val="FFFFFFFF"/>
    <w:numStyleLink w:val="Stileimportat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E7"/>
    <w:rsid w:val="001B32C9"/>
    <w:rsid w:val="003D66E7"/>
    <w:rsid w:val="004D21F8"/>
    <w:rsid w:val="007A3D36"/>
    <w:rsid w:val="008D7986"/>
    <w:rsid w:val="00A162A3"/>
    <w:rsid w:val="00C35B32"/>
    <w:rsid w:val="00CF1D8A"/>
    <w:rsid w:val="00E66E44"/>
    <w:rsid w:val="00F31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BBCCC-17C6-4345-9D4B-A515ED08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35B32"/>
    <w:pPr>
      <w:pBdr>
        <w:top w:val="nil"/>
        <w:left w:val="nil"/>
        <w:bottom w:val="nil"/>
        <w:right w:val="nil"/>
        <w:between w:val="nil"/>
        <w:bar w:val="nil"/>
      </w:pBdr>
    </w:pPr>
    <w:rPr>
      <w:rFonts w:ascii="Calibri" w:eastAsia="Calibri" w:hAnsi="Calibri" w:cs="Calibri"/>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A">
    <w:name w:val="Corpo A"/>
    <w:rsid w:val="003D66E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character" w:customStyle="1" w:styleId="textexposedshow">
    <w:name w:val="text_exposed_show"/>
    <w:rsid w:val="003D66E7"/>
    <w:rPr>
      <w:lang w:val="it-IT"/>
    </w:rPr>
  </w:style>
  <w:style w:type="character" w:styleId="Collegamentoipertestuale">
    <w:name w:val="Hyperlink"/>
    <w:rsid w:val="00C35B32"/>
    <w:rPr>
      <w:u w:val="single"/>
    </w:rPr>
  </w:style>
  <w:style w:type="character" w:customStyle="1" w:styleId="Hyperlink0">
    <w:name w:val="Hyperlink.0"/>
    <w:basedOn w:val="Carpredefinitoparagrafo"/>
    <w:rsid w:val="00C35B32"/>
    <w:rPr>
      <w:rFonts w:ascii="Trebuchet MS" w:eastAsia="Trebuchet MS" w:hAnsi="Trebuchet MS" w:cs="Trebuchet MS"/>
      <w:b/>
      <w:bCs/>
      <w:color w:val="0000FF"/>
      <w:sz w:val="24"/>
      <w:szCs w:val="24"/>
      <w:u w:val="single" w:color="0000FF"/>
      <w:shd w:val="clear" w:color="auto" w:fill="FFFFFF"/>
    </w:rPr>
  </w:style>
  <w:style w:type="paragraph" w:styleId="Paragrafoelenco">
    <w:name w:val="List Paragraph"/>
    <w:rsid w:val="004D21F8"/>
    <w:pPr>
      <w:pBdr>
        <w:top w:val="nil"/>
        <w:left w:val="nil"/>
        <w:bottom w:val="nil"/>
        <w:right w:val="nil"/>
        <w:between w:val="nil"/>
        <w:bar w:val="nil"/>
      </w:pBdr>
      <w:ind w:left="720"/>
    </w:pPr>
    <w:rPr>
      <w:rFonts w:ascii="Calibri" w:eastAsia="Calibri" w:hAnsi="Calibri" w:cs="Calibri"/>
      <w:color w:val="000000"/>
      <w:u w:color="000000"/>
      <w:bdr w:val="nil"/>
      <w:lang w:eastAsia="it-IT"/>
    </w:rPr>
  </w:style>
  <w:style w:type="character" w:customStyle="1" w:styleId="Hyperlink1">
    <w:name w:val="Hyperlink.1"/>
    <w:basedOn w:val="Carpredefinitoparagrafo"/>
    <w:rsid w:val="004D21F8"/>
    <w:rPr>
      <w:color w:val="0000FF"/>
      <w:sz w:val="24"/>
      <w:szCs w:val="24"/>
      <w:u w:val="single" w:color="0000FF"/>
    </w:rPr>
  </w:style>
  <w:style w:type="numbering" w:customStyle="1" w:styleId="Stileimportato2">
    <w:name w:val="Stile importato 2"/>
    <w:rsid w:val="004D21F8"/>
    <w:pPr>
      <w:numPr>
        <w:numId w:val="1"/>
      </w:numPr>
    </w:pPr>
  </w:style>
  <w:style w:type="character" w:customStyle="1" w:styleId="Hyperlink2">
    <w:name w:val="Hyperlink.2"/>
    <w:basedOn w:val="textexposedshow"/>
    <w:rsid w:val="004D21F8"/>
    <w:rPr>
      <w:color w:val="0000FF"/>
      <w:u w:val="single" w:color="0000FF"/>
      <w:lang w:val="it-IT"/>
    </w:rPr>
  </w:style>
  <w:style w:type="character" w:customStyle="1" w:styleId="Hyperlink3">
    <w:name w:val="Hyperlink.3"/>
    <w:basedOn w:val="Carpredefinitoparagrafo"/>
    <w:rsid w:val="004D21F8"/>
    <w:rPr>
      <w:color w:val="0000FF"/>
      <w:u w:val="single" w:color="0000FF"/>
      <w:shd w:val="clear" w:color="auto" w:fill="FFFFFF"/>
    </w:rPr>
  </w:style>
  <w:style w:type="character" w:customStyle="1" w:styleId="Hyperlink4">
    <w:name w:val="Hyperlink.4"/>
    <w:basedOn w:val="textexposedshow"/>
    <w:rsid w:val="004D21F8"/>
    <w:rPr>
      <w:color w:val="000000"/>
      <w:sz w:val="24"/>
      <w:szCs w:val="24"/>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371</Words>
  <Characters>2115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simonetta.rubinato</dc:creator>
  <cp:keywords/>
  <dc:description/>
  <cp:lastModifiedBy>simonetta.rubinato</cp:lastModifiedBy>
  <cp:revision>1</cp:revision>
  <dcterms:created xsi:type="dcterms:W3CDTF">2016-12-30T10:39:00Z</dcterms:created>
  <dcterms:modified xsi:type="dcterms:W3CDTF">2016-12-30T17:53:00Z</dcterms:modified>
</cp:coreProperties>
</file>